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292377" w:rsidP="005D0621">
            <w:pPr>
              <w:rPr>
                <w:b/>
              </w:rPr>
            </w:pPr>
            <w:r>
              <w:rPr>
                <w:rStyle w:val="Firstpagetablebold"/>
              </w:rPr>
              <w:t>16</w:t>
            </w:r>
            <w:r w:rsidR="00505EEA">
              <w:rPr>
                <w:rStyle w:val="Firstpagetablebold"/>
              </w:rPr>
              <w:t xml:space="preserve"> October 2018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047BC0" w:rsidRDefault="002B5CA5" w:rsidP="00112AE7">
            <w:pPr>
              <w:rPr>
                <w:rStyle w:val="Firstpagetablebold"/>
                <w:b w:val="0"/>
              </w:rPr>
            </w:pPr>
            <w:r>
              <w:rPr>
                <w:b/>
                <w:color w:val="auto"/>
                <w:sz w:val="22"/>
                <w:szCs w:val="22"/>
              </w:rPr>
              <w:t>Assistant Chief Executive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505EEA" w:rsidP="004A6D2F">
            <w:pPr>
              <w:rPr>
                <w:rStyle w:val="Firstpagetablebold"/>
              </w:rPr>
            </w:pPr>
            <w:r>
              <w:rPr>
                <w:rStyle w:val="Firstpagetablebold"/>
              </w:rPr>
              <w:t>Award of construction contract</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505EEA" w:rsidRDefault="00505EEA" w:rsidP="00505EEA">
            <w:pPr>
              <w:tabs>
                <w:tab w:val="left" w:pos="2520"/>
              </w:tabs>
              <w:spacing w:after="0"/>
              <w:ind w:right="105"/>
              <w:rPr>
                <w:rFonts w:eastAsia="Arial" w:cs="Arial"/>
              </w:rPr>
            </w:pPr>
            <w:r>
              <w:rPr>
                <w:rFonts w:eastAsia="Arial" w:cs="Arial"/>
              </w:rPr>
              <w:t>To</w:t>
            </w:r>
            <w:r>
              <w:rPr>
                <w:rFonts w:eastAsia="Arial" w:cs="Arial"/>
                <w:spacing w:val="-3"/>
              </w:rPr>
              <w:t xml:space="preserve"> </w:t>
            </w:r>
            <w:r>
              <w:rPr>
                <w:rFonts w:eastAsia="Arial" w:cs="Arial"/>
              </w:rPr>
              <w:t>seek project approval and delegated authority for</w:t>
            </w:r>
            <w:r>
              <w:rPr>
                <w:rFonts w:eastAsia="Arial" w:cs="Arial"/>
                <w:spacing w:val="-3"/>
              </w:rPr>
              <w:t xml:space="preserve"> </w:t>
            </w:r>
            <w:r>
              <w:rPr>
                <w:rFonts w:eastAsia="Arial" w:cs="Arial"/>
              </w:rPr>
              <w:t xml:space="preserve">the </w:t>
            </w:r>
            <w:r w:rsidRPr="00505EEA">
              <w:rPr>
                <w:rFonts w:eastAsia="Arial" w:cs="Arial"/>
              </w:rPr>
              <w:t>Assistant Chief Executive</w:t>
            </w:r>
            <w:r>
              <w:rPr>
                <w:rFonts w:eastAsia="Arial" w:cs="Arial"/>
                <w:b/>
              </w:rPr>
              <w:t xml:space="preserve"> </w:t>
            </w:r>
            <w:r>
              <w:rPr>
                <w:rFonts w:eastAsia="Arial" w:cs="Arial"/>
              </w:rPr>
              <w:t>to</w:t>
            </w:r>
            <w:r>
              <w:rPr>
                <w:rFonts w:eastAsia="Arial" w:cs="Arial"/>
                <w:spacing w:val="-2"/>
              </w:rPr>
              <w:t xml:space="preserve"> </w:t>
            </w:r>
            <w:r>
              <w:rPr>
                <w:rFonts w:eastAsia="Arial" w:cs="Arial"/>
              </w:rPr>
              <w:t>award a construction contract for up to 8 units of housing for the Council.</w:t>
            </w:r>
          </w:p>
          <w:p w:rsidR="00D5547E" w:rsidRPr="001356F1" w:rsidRDefault="00D5547E" w:rsidP="000F4751"/>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505EEA" w:rsidRDefault="00505EEA" w:rsidP="00047BC0">
            <w:pPr>
              <w:pStyle w:val="ListParagraph"/>
              <w:widowControl w:val="0"/>
              <w:numPr>
                <w:ilvl w:val="0"/>
                <w:numId w:val="0"/>
              </w:numPr>
              <w:tabs>
                <w:tab w:val="clear" w:pos="426"/>
              </w:tabs>
              <w:spacing w:after="200" w:line="276" w:lineRule="auto"/>
              <w:ind w:left="360" w:hanging="360"/>
              <w:contextualSpacing/>
              <w:rPr>
                <w:rFonts w:eastAsia="Arial" w:cs="Arial"/>
              </w:rPr>
            </w:pPr>
            <w:r>
              <w:rPr>
                <w:rFonts w:eastAsia="Arial" w:cs="Arial"/>
              </w:rPr>
              <w:t>Councillor Mike Rowley, Housing</w:t>
            </w:r>
          </w:p>
          <w:p w:rsidR="00D5547E" w:rsidRPr="001356F1" w:rsidRDefault="00D5547E" w:rsidP="005F7F7E"/>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505EEA" w:rsidP="005F7F7E">
            <w:r>
              <w:t>Meeting Housing Need</w:t>
            </w:r>
            <w:r w:rsidR="0080749A" w:rsidRPr="001356F1">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505EEA" w:rsidP="005F7F7E">
            <w:r>
              <w:t>Housing Strategy</w:t>
            </w:r>
          </w:p>
        </w:tc>
      </w:tr>
      <w:tr w:rsidR="005F7F7E" w:rsidRPr="00975B07" w:rsidTr="00A46E98">
        <w:trPr>
          <w:trHeight w:val="413"/>
        </w:trPr>
        <w:tc>
          <w:tcPr>
            <w:tcW w:w="8845" w:type="dxa"/>
            <w:gridSpan w:val="3"/>
            <w:tcBorders>
              <w:bottom w:val="single" w:sz="8" w:space="0" w:color="000000"/>
            </w:tcBorders>
          </w:tcPr>
          <w:p w:rsidR="005F7F7E" w:rsidRPr="00975B07" w:rsidRDefault="00505EEA" w:rsidP="00505EEA">
            <w:r>
              <w:rPr>
                <w:rStyle w:val="Firstpagetablebold"/>
              </w:rPr>
              <w:t>Recommendation</w:t>
            </w:r>
            <w:r w:rsidR="005F7F7E">
              <w:rPr>
                <w:rStyle w:val="Firstpagetablebold"/>
              </w:rPr>
              <w:t>s:</w:t>
            </w:r>
            <w:r w:rsidR="00BB7A9C">
              <w:rPr>
                <w:rStyle w:val="Firstpagetablebold"/>
              </w:rPr>
              <w:t xml:space="preserve"> </w:t>
            </w:r>
            <w:r w:rsidR="005F7F7E" w:rsidRPr="00505EEA">
              <w:rPr>
                <w:rStyle w:val="Firstpagetablebold"/>
                <w:b w:val="0"/>
              </w:rPr>
              <w:t>That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505EEA" w:rsidP="00505EEA">
            <w:r w:rsidRPr="00505EEA">
              <w:rPr>
                <w:b/>
              </w:rPr>
              <w:t xml:space="preserve">Note </w:t>
            </w:r>
            <w:r w:rsidRPr="00505EEA">
              <w:t xml:space="preserve">that the budget for this project </w:t>
            </w:r>
            <w:r w:rsidR="00BB7A9C">
              <w:t>was</w:t>
            </w:r>
            <w:r w:rsidRPr="00505EEA">
              <w:t xml:space="preserve"> </w:t>
            </w:r>
            <w:r w:rsidR="00BB7A9C">
              <w:t xml:space="preserve">first </w:t>
            </w:r>
            <w:r w:rsidRPr="00505EEA">
              <w:t xml:space="preserve">approved within the </w:t>
            </w:r>
            <w:r w:rsidR="00BB7A9C">
              <w:t xml:space="preserve">2017/18 </w:t>
            </w:r>
            <w:r w:rsidRPr="00505EEA">
              <w:t>Capital programme</w:t>
            </w:r>
            <w:r w:rsidR="00BB7A9C">
              <w:t xml:space="preserve"> and</w:t>
            </w:r>
            <w:r w:rsidRPr="00505EEA">
              <w:t xml:space="preserve"> Medium Term Financial Plan</w:t>
            </w:r>
            <w:r w:rsidR="00112AE7">
              <w:t>;</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rsidR="0030208D" w:rsidRPr="001356F1" w:rsidRDefault="00505EEA" w:rsidP="002069B3">
            <w:r w:rsidRPr="00505EEA">
              <w:rPr>
                <w:b/>
              </w:rPr>
              <w:t>Approve</w:t>
            </w:r>
            <w:r w:rsidRPr="00505EEA">
              <w:t xml:space="preserve"> the construction of up to eight units of housing for the Council on various sites within Oxford, as specified in this report</w:t>
            </w:r>
            <w:r w:rsidR="00112AE7">
              <w:t>; and</w:t>
            </w:r>
          </w:p>
        </w:tc>
      </w:tr>
      <w:tr w:rsidR="00232F5B" w:rsidRPr="00975B07" w:rsidTr="002B5CA5">
        <w:trPr>
          <w:trHeight w:val="283"/>
        </w:trPr>
        <w:tc>
          <w:tcPr>
            <w:tcW w:w="426" w:type="dxa"/>
            <w:tcBorders>
              <w:top w:val="nil"/>
              <w:left w:val="single" w:sz="8" w:space="0" w:color="000000"/>
              <w:bottom w:val="single" w:sz="8" w:space="0" w:color="000000"/>
              <w:right w:val="nil"/>
            </w:tcBorders>
          </w:tcPr>
          <w:p w:rsidR="0030208D" w:rsidRPr="00975B07" w:rsidRDefault="00046D2B" w:rsidP="004A6D2F">
            <w:r w:rsidRPr="00975B07">
              <w:t>3.</w:t>
            </w:r>
          </w:p>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505EEA" w:rsidP="002069B3">
            <w:r w:rsidRPr="00505EEA">
              <w:rPr>
                <w:b/>
              </w:rPr>
              <w:t>Delegate</w:t>
            </w:r>
            <w:r w:rsidRPr="00505EEA">
              <w:t xml:space="preserve"> to the Assistant Chief Executive, the authority to award a construction contract to F1 Modular  for up to 8 units of housing for the Council at a total cost of no more than £1.1 million.</w:t>
            </w:r>
          </w:p>
        </w:tc>
      </w:tr>
    </w:tbl>
    <w:p w:rsidR="00CE544A" w:rsidRPr="009E51FC" w:rsidRDefault="00CE544A"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tblBorders>
        <w:tblLook w:val="04A0" w:firstRow="1" w:lastRow="0" w:firstColumn="1" w:lastColumn="0" w:noHBand="0" w:noVBand="1"/>
      </w:tblPr>
      <w:tblGrid>
        <w:gridCol w:w="2438"/>
        <w:gridCol w:w="6406"/>
      </w:tblGrid>
      <w:tr w:rsidR="00966D42" w:rsidRPr="00975B07" w:rsidTr="002B5CA5">
        <w:tc>
          <w:tcPr>
            <w:tcW w:w="8844" w:type="dxa"/>
            <w:gridSpan w:val="2"/>
            <w:shd w:val="clear" w:color="auto" w:fill="auto"/>
          </w:tcPr>
          <w:p w:rsidR="00966D42" w:rsidRPr="00975B07" w:rsidRDefault="00966D42" w:rsidP="00263EA3">
            <w:pPr>
              <w:jc w:val="center"/>
            </w:pPr>
            <w:r w:rsidRPr="00745BF0">
              <w:rPr>
                <w:rStyle w:val="Firstpagetablebold"/>
              </w:rPr>
              <w:t>Appendices</w:t>
            </w:r>
          </w:p>
        </w:tc>
      </w:tr>
      <w:tr w:rsidR="00ED5860" w:rsidRPr="00975B07" w:rsidTr="002B5CA5">
        <w:tc>
          <w:tcPr>
            <w:tcW w:w="2438" w:type="dxa"/>
            <w:shd w:val="clear" w:color="auto" w:fill="auto"/>
          </w:tcPr>
          <w:p w:rsidR="00ED5860" w:rsidRPr="00975B07" w:rsidRDefault="00ED5860" w:rsidP="004A6D2F">
            <w:r w:rsidRPr="00975B07">
              <w:t>Appendix 1</w:t>
            </w:r>
          </w:p>
        </w:tc>
        <w:tc>
          <w:tcPr>
            <w:tcW w:w="6406" w:type="dxa"/>
          </w:tcPr>
          <w:p w:rsidR="00ED5860" w:rsidRPr="001356F1" w:rsidRDefault="00505EEA" w:rsidP="004A6D2F">
            <w:r>
              <w:t>Risk Register</w:t>
            </w:r>
          </w:p>
        </w:tc>
      </w:tr>
    </w:tbl>
    <w:p w:rsidR="00112AE7" w:rsidRDefault="00112AE7" w:rsidP="00505EEA">
      <w:pPr>
        <w:spacing w:before="60" w:after="0"/>
        <w:ind w:right="-20"/>
        <w:rPr>
          <w:rFonts w:eastAsia="Arial" w:cs="Arial"/>
          <w:b/>
          <w:bCs/>
        </w:rPr>
      </w:pPr>
    </w:p>
    <w:p w:rsidR="00505EEA" w:rsidRPr="00505EEA" w:rsidRDefault="00505EEA" w:rsidP="00505EEA">
      <w:pPr>
        <w:spacing w:before="60" w:after="0"/>
        <w:ind w:right="-20"/>
        <w:rPr>
          <w:rFonts w:ascii="Calibri" w:eastAsia="Calibri" w:hAnsi="Calibri"/>
          <w:sz w:val="12"/>
          <w:szCs w:val="12"/>
        </w:rPr>
      </w:pPr>
      <w:r>
        <w:rPr>
          <w:rFonts w:eastAsia="Arial" w:cs="Arial"/>
          <w:b/>
          <w:bCs/>
        </w:rPr>
        <w:t>Introduction</w:t>
      </w:r>
      <w:r>
        <w:rPr>
          <w:rFonts w:eastAsia="Arial" w:cs="Arial"/>
          <w:b/>
          <w:bCs/>
          <w:spacing w:val="-14"/>
        </w:rPr>
        <w:t xml:space="preserve"> </w:t>
      </w:r>
      <w:r>
        <w:rPr>
          <w:rFonts w:eastAsia="Arial" w:cs="Arial"/>
          <w:b/>
          <w:bCs/>
        </w:rPr>
        <w:t>and</w:t>
      </w:r>
      <w:r>
        <w:rPr>
          <w:rFonts w:eastAsia="Arial" w:cs="Arial"/>
          <w:b/>
          <w:bCs/>
          <w:spacing w:val="-4"/>
        </w:rPr>
        <w:t xml:space="preserve"> </w:t>
      </w:r>
      <w:r>
        <w:rPr>
          <w:rFonts w:eastAsia="Arial" w:cs="Arial"/>
          <w:b/>
          <w:bCs/>
        </w:rPr>
        <w:t>background</w:t>
      </w:r>
    </w:p>
    <w:p w:rsidR="00505EEA" w:rsidRDefault="00505EEA" w:rsidP="00505EEA">
      <w:pPr>
        <w:pStyle w:val="ListParagraph"/>
        <w:numPr>
          <w:ilvl w:val="0"/>
          <w:numId w:val="0"/>
        </w:numPr>
        <w:tabs>
          <w:tab w:val="left" w:pos="520"/>
        </w:tabs>
        <w:spacing w:after="0"/>
        <w:ind w:left="464" w:right="230"/>
        <w:rPr>
          <w:rFonts w:eastAsia="Arial" w:cs="Arial"/>
        </w:rPr>
      </w:pPr>
    </w:p>
    <w:p w:rsidR="00505EEA" w:rsidRDefault="00505EEA" w:rsidP="00047BC0">
      <w:pPr>
        <w:pStyle w:val="ListParagraph"/>
        <w:widowControl w:val="0"/>
        <w:numPr>
          <w:ilvl w:val="0"/>
          <w:numId w:val="35"/>
        </w:numPr>
        <w:tabs>
          <w:tab w:val="clear" w:pos="426"/>
        </w:tabs>
        <w:spacing w:after="200" w:line="276" w:lineRule="auto"/>
        <w:contextualSpacing/>
        <w:rPr>
          <w:rFonts w:eastAsia="Arial" w:cs="Arial"/>
        </w:rPr>
      </w:pPr>
      <w:r>
        <w:rPr>
          <w:rFonts w:eastAsia="Arial" w:cs="Arial"/>
        </w:rPr>
        <w:t>This project delivers new Council homes on backland sites in Oxford. Two sites have already secured planning permission for 7 bungalows and a third for another unit has been submitted.</w:t>
      </w:r>
    </w:p>
    <w:p w:rsidR="00505EEA" w:rsidRDefault="00505EEA" w:rsidP="00505EEA">
      <w:pPr>
        <w:pStyle w:val="ListParagraph"/>
        <w:numPr>
          <w:ilvl w:val="0"/>
          <w:numId w:val="0"/>
        </w:numPr>
        <w:tabs>
          <w:tab w:val="left" w:pos="520"/>
        </w:tabs>
        <w:spacing w:after="0"/>
        <w:ind w:left="-256" w:right="230"/>
        <w:rPr>
          <w:rFonts w:eastAsia="Arial" w:cs="Arial"/>
        </w:rPr>
      </w:pPr>
    </w:p>
    <w:p w:rsidR="00505EEA" w:rsidRDefault="00505EEA" w:rsidP="00047BC0">
      <w:pPr>
        <w:pStyle w:val="ListParagraph"/>
        <w:widowControl w:val="0"/>
        <w:numPr>
          <w:ilvl w:val="0"/>
          <w:numId w:val="35"/>
        </w:numPr>
        <w:tabs>
          <w:tab w:val="clear" w:pos="426"/>
        </w:tabs>
        <w:spacing w:after="200" w:line="276" w:lineRule="auto"/>
        <w:contextualSpacing/>
        <w:rPr>
          <w:rFonts w:eastAsia="Arial" w:cs="Arial"/>
        </w:rPr>
      </w:pPr>
      <w:r>
        <w:rPr>
          <w:rFonts w:eastAsia="Arial" w:cs="Arial"/>
        </w:rPr>
        <w:lastRenderedPageBreak/>
        <w:t>The developments sites are at Mortimer Drive – a disused garage site and, Bracegirdle Drive, a disused play area. The third site is at Broad Oak.  They are from a register of similar sites owned by the Council across the City. The units will be owned and managed by the Council within the Housing Revenue Account and let at Social Rents.</w:t>
      </w:r>
    </w:p>
    <w:p w:rsidR="00505EEA" w:rsidRDefault="00505EEA" w:rsidP="00505EEA">
      <w:pPr>
        <w:tabs>
          <w:tab w:val="left" w:pos="520"/>
        </w:tabs>
        <w:spacing w:after="0"/>
        <w:ind w:left="-616" w:right="230"/>
        <w:rPr>
          <w:rFonts w:eastAsia="Arial" w:cs="Arial"/>
        </w:rPr>
      </w:pPr>
    </w:p>
    <w:p w:rsidR="00505EEA" w:rsidRDefault="00505EEA" w:rsidP="00047BC0">
      <w:pPr>
        <w:pStyle w:val="ListParagraph"/>
        <w:widowControl w:val="0"/>
        <w:numPr>
          <w:ilvl w:val="0"/>
          <w:numId w:val="35"/>
        </w:numPr>
        <w:tabs>
          <w:tab w:val="clear" w:pos="426"/>
        </w:tabs>
        <w:spacing w:after="200" w:line="276" w:lineRule="auto"/>
        <w:contextualSpacing/>
        <w:rPr>
          <w:rFonts w:eastAsia="Arial" w:cs="Arial"/>
        </w:rPr>
      </w:pPr>
      <w:r>
        <w:rPr>
          <w:rFonts w:eastAsia="Arial" w:cs="Arial"/>
        </w:rPr>
        <w:t xml:space="preserve">In October 2017 the Project Manager approached the LHC Framework for delivery of the units through volumetric offsite manufacture.  LHC covers offsite construction and installation of volumetric construction systems.  </w:t>
      </w:r>
    </w:p>
    <w:p w:rsidR="00505EEA" w:rsidRDefault="00505EEA" w:rsidP="00505EEA">
      <w:pPr>
        <w:pStyle w:val="ListParagraph"/>
        <w:numPr>
          <w:ilvl w:val="0"/>
          <w:numId w:val="0"/>
        </w:numPr>
        <w:ind w:left="-720"/>
        <w:rPr>
          <w:rFonts w:eastAsia="Arial" w:cs="Arial"/>
        </w:rPr>
      </w:pPr>
    </w:p>
    <w:p w:rsidR="00505EEA" w:rsidRDefault="00505EEA" w:rsidP="00505EEA">
      <w:pPr>
        <w:pStyle w:val="ListParagraph"/>
        <w:widowControl w:val="0"/>
        <w:numPr>
          <w:ilvl w:val="0"/>
          <w:numId w:val="35"/>
        </w:numPr>
        <w:tabs>
          <w:tab w:val="clear" w:pos="426"/>
        </w:tabs>
        <w:spacing w:after="200" w:line="276" w:lineRule="auto"/>
        <w:contextualSpacing/>
        <w:rPr>
          <w:rFonts w:eastAsia="Arial" w:cs="Arial"/>
        </w:rPr>
      </w:pPr>
      <w:r>
        <w:rPr>
          <w:rFonts w:eastAsia="Arial" w:cs="Arial"/>
        </w:rPr>
        <w:t xml:space="preserve">It was considered that these sites would </w:t>
      </w:r>
      <w:r w:rsidR="00BB7A9C">
        <w:rPr>
          <w:rFonts w:eastAsia="Arial" w:cs="Arial"/>
        </w:rPr>
        <w:t xml:space="preserve">be </w:t>
      </w:r>
      <w:r>
        <w:rPr>
          <w:rFonts w:eastAsia="Arial" w:cs="Arial"/>
        </w:rPr>
        <w:t xml:space="preserve">suitable </w:t>
      </w:r>
      <w:proofErr w:type="gramStart"/>
      <w:r>
        <w:rPr>
          <w:rFonts w:eastAsia="Arial" w:cs="Arial"/>
        </w:rPr>
        <w:t>for  off</w:t>
      </w:r>
      <w:proofErr w:type="gramEnd"/>
      <w:r>
        <w:rPr>
          <w:rFonts w:eastAsia="Arial" w:cs="Arial"/>
        </w:rPr>
        <w:t xml:space="preserve">-site manufacturing methods as a pilot for future development sites. Reducing the time required in construction on site lessens the impact of works on neighbouring homes and streets as well as potentially offering cost savings. Factory built units also involve less waste and usually produce less defects. </w:t>
      </w:r>
    </w:p>
    <w:p w:rsidR="00505EEA" w:rsidRDefault="00505EEA" w:rsidP="00505EEA">
      <w:pPr>
        <w:pStyle w:val="ListParagraph"/>
        <w:numPr>
          <w:ilvl w:val="0"/>
          <w:numId w:val="0"/>
        </w:numPr>
        <w:ind w:left="-294"/>
        <w:rPr>
          <w:rFonts w:eastAsia="Arial" w:cs="Arial"/>
        </w:rPr>
      </w:pPr>
    </w:p>
    <w:p w:rsidR="00505EEA" w:rsidRDefault="00505EEA" w:rsidP="00047BC0">
      <w:pPr>
        <w:pStyle w:val="ListParagraph"/>
        <w:widowControl w:val="0"/>
        <w:numPr>
          <w:ilvl w:val="0"/>
          <w:numId w:val="35"/>
        </w:numPr>
        <w:tabs>
          <w:tab w:val="clear" w:pos="426"/>
        </w:tabs>
        <w:spacing w:after="200" w:line="276" w:lineRule="auto"/>
        <w:contextualSpacing/>
        <w:rPr>
          <w:rFonts w:eastAsia="Arial" w:cs="Arial"/>
        </w:rPr>
      </w:pPr>
      <w:r>
        <w:rPr>
          <w:rFonts w:eastAsia="Arial" w:cs="Arial"/>
        </w:rPr>
        <w:t xml:space="preserve">Both the Mortimer Road and Bracegirdle Drive sites have achieved planning consent and the detailed designs are being prepared. The single home at Broad Oak is subject to a current planning application. Should this application not be successful the total cost of the contract would be reduced accordingly. </w:t>
      </w:r>
    </w:p>
    <w:p w:rsidR="00505EEA" w:rsidRDefault="00505EEA" w:rsidP="00505EEA">
      <w:pPr>
        <w:tabs>
          <w:tab w:val="left" w:pos="520"/>
        </w:tabs>
        <w:spacing w:after="0"/>
        <w:ind w:right="230"/>
        <w:rPr>
          <w:rFonts w:eastAsia="Arial" w:cs="Arial"/>
        </w:rPr>
      </w:pPr>
    </w:p>
    <w:p w:rsidR="00505EEA" w:rsidRDefault="00505EEA" w:rsidP="00047BC0">
      <w:pPr>
        <w:pStyle w:val="ListParagraph"/>
        <w:widowControl w:val="0"/>
        <w:numPr>
          <w:ilvl w:val="0"/>
          <w:numId w:val="35"/>
        </w:numPr>
        <w:tabs>
          <w:tab w:val="clear" w:pos="426"/>
        </w:tabs>
        <w:spacing w:after="200" w:line="276" w:lineRule="auto"/>
        <w:contextualSpacing/>
        <w:rPr>
          <w:rFonts w:eastAsia="Arial" w:cs="Arial"/>
        </w:rPr>
      </w:pPr>
      <w:r>
        <w:rPr>
          <w:rFonts w:eastAsia="Arial" w:cs="Arial"/>
        </w:rPr>
        <w:t>This report requests that the Assistant Chief Executive be authorised to make a compliant Direct Award to the selected contractor through an existing framework agreement.</w:t>
      </w:r>
    </w:p>
    <w:p w:rsidR="00505EEA" w:rsidRPr="00505EEA" w:rsidRDefault="00505EEA" w:rsidP="00505EEA">
      <w:pPr>
        <w:spacing w:after="0" w:line="120" w:lineRule="exact"/>
        <w:rPr>
          <w:rFonts w:ascii="Calibri" w:eastAsia="Calibri" w:hAnsi="Calibri"/>
          <w:sz w:val="12"/>
          <w:szCs w:val="12"/>
        </w:rPr>
      </w:pPr>
    </w:p>
    <w:p w:rsidR="00505EEA" w:rsidRDefault="00505EEA" w:rsidP="00047BC0">
      <w:pPr>
        <w:pStyle w:val="ListParagraph"/>
        <w:widowControl w:val="0"/>
        <w:numPr>
          <w:ilvl w:val="0"/>
          <w:numId w:val="35"/>
        </w:numPr>
        <w:tabs>
          <w:tab w:val="clear" w:pos="426"/>
        </w:tabs>
        <w:spacing w:after="200" w:line="276" w:lineRule="auto"/>
        <w:contextualSpacing/>
        <w:rPr>
          <w:rFonts w:eastAsia="Arial" w:cs="Arial"/>
        </w:rPr>
      </w:pPr>
      <w:r>
        <w:rPr>
          <w:rFonts w:eastAsia="Arial" w:cs="Arial"/>
        </w:rPr>
        <w:t>The proposed contract value is £1.1 million. F1 Modular w</w:t>
      </w:r>
      <w:r w:rsidR="00BB7A9C">
        <w:rPr>
          <w:rFonts w:eastAsia="Arial" w:cs="Arial"/>
        </w:rPr>
        <w:t>as</w:t>
      </w:r>
      <w:r>
        <w:rPr>
          <w:rFonts w:eastAsia="Arial" w:cs="Arial"/>
        </w:rPr>
        <w:t xml:space="preserve"> identified from a LHC framework specializing in the off-site construction of new homes and </w:t>
      </w:r>
      <w:r w:rsidR="00BB7A9C">
        <w:rPr>
          <w:rFonts w:eastAsia="Arial" w:cs="Arial"/>
        </w:rPr>
        <w:t>has</w:t>
      </w:r>
      <w:r>
        <w:rPr>
          <w:rFonts w:eastAsia="Arial" w:cs="Arial"/>
        </w:rPr>
        <w:t xml:space="preserve"> been working with the Council for a year to progress the project.</w:t>
      </w:r>
    </w:p>
    <w:p w:rsidR="00505EEA" w:rsidRDefault="00505EEA" w:rsidP="00505EEA">
      <w:pPr>
        <w:pStyle w:val="ListParagraph"/>
        <w:numPr>
          <w:ilvl w:val="0"/>
          <w:numId w:val="0"/>
        </w:numPr>
        <w:ind w:left="-294"/>
        <w:rPr>
          <w:rFonts w:eastAsia="Arial" w:cs="Arial"/>
        </w:rPr>
      </w:pPr>
    </w:p>
    <w:p w:rsidR="00505EEA" w:rsidRDefault="00505EEA" w:rsidP="00047BC0">
      <w:pPr>
        <w:pStyle w:val="ListParagraph"/>
        <w:widowControl w:val="0"/>
        <w:numPr>
          <w:ilvl w:val="0"/>
          <w:numId w:val="35"/>
        </w:numPr>
        <w:tabs>
          <w:tab w:val="clear" w:pos="426"/>
        </w:tabs>
        <w:spacing w:after="200" w:line="276" w:lineRule="auto"/>
        <w:contextualSpacing/>
        <w:rPr>
          <w:rFonts w:eastAsia="Arial" w:cs="Arial"/>
        </w:rPr>
      </w:pPr>
      <w:r>
        <w:rPr>
          <w:rFonts w:eastAsia="Arial" w:cs="Arial"/>
        </w:rPr>
        <w:t>If approved these homes will be the first delivered in Oxford under the recently signed housing deal attracting £55,000 per home, greatly reducing the cost of their provision to the Council.</w:t>
      </w:r>
    </w:p>
    <w:p w:rsidR="00505EEA" w:rsidRPr="00505EEA" w:rsidRDefault="00505EEA" w:rsidP="00505EEA">
      <w:pPr>
        <w:spacing w:before="6" w:after="0" w:line="110" w:lineRule="exact"/>
        <w:rPr>
          <w:rFonts w:ascii="Calibri" w:eastAsia="Calibri" w:hAnsi="Calibri"/>
          <w:sz w:val="11"/>
          <w:szCs w:val="11"/>
        </w:rPr>
      </w:pPr>
    </w:p>
    <w:p w:rsidR="00505EEA" w:rsidRDefault="00505EEA" w:rsidP="00505EEA">
      <w:pPr>
        <w:spacing w:after="0" w:line="200" w:lineRule="exact"/>
        <w:rPr>
          <w:sz w:val="20"/>
          <w:szCs w:val="20"/>
        </w:rPr>
      </w:pPr>
    </w:p>
    <w:p w:rsidR="00505EEA" w:rsidRDefault="00505EEA" w:rsidP="00505EEA">
      <w:pPr>
        <w:spacing w:after="0"/>
        <w:ind w:left="-360" w:right="-20"/>
        <w:rPr>
          <w:rFonts w:eastAsia="Arial" w:cs="Arial"/>
        </w:rPr>
      </w:pPr>
      <w:r>
        <w:rPr>
          <w:rFonts w:eastAsia="Arial" w:cs="Arial"/>
          <w:b/>
          <w:bCs/>
        </w:rPr>
        <w:t>Procurement process</w:t>
      </w:r>
    </w:p>
    <w:p w:rsidR="00505EEA" w:rsidRPr="00505EEA" w:rsidRDefault="00505EEA" w:rsidP="00505EEA">
      <w:pPr>
        <w:spacing w:after="0" w:line="120" w:lineRule="exact"/>
        <w:rPr>
          <w:rFonts w:ascii="Calibri" w:eastAsia="Calibri" w:hAnsi="Calibri"/>
          <w:sz w:val="12"/>
          <w:szCs w:val="12"/>
        </w:rPr>
      </w:pPr>
    </w:p>
    <w:p w:rsidR="00505EEA" w:rsidRDefault="00505EEA" w:rsidP="00047BC0">
      <w:pPr>
        <w:pStyle w:val="ListParagraph"/>
        <w:widowControl w:val="0"/>
        <w:numPr>
          <w:ilvl w:val="0"/>
          <w:numId w:val="35"/>
        </w:numPr>
        <w:tabs>
          <w:tab w:val="clear" w:pos="426"/>
        </w:tabs>
        <w:spacing w:after="200" w:line="276" w:lineRule="auto"/>
        <w:contextualSpacing/>
        <w:rPr>
          <w:rFonts w:eastAsia="Arial" w:cs="Arial"/>
        </w:rPr>
      </w:pPr>
      <w:r>
        <w:rPr>
          <w:rFonts w:eastAsia="Arial" w:cs="Arial"/>
        </w:rPr>
        <w:t>LHC is a leading provider of</w:t>
      </w:r>
      <w:r w:rsidRPr="00047BC0">
        <w:rPr>
          <w:rFonts w:eastAsia="Arial" w:cs="Arial"/>
        </w:rPr>
        <w:t xml:space="preserve"> </w:t>
      </w:r>
      <w:r>
        <w:rPr>
          <w:rFonts w:eastAsia="Arial" w:cs="Arial"/>
        </w:rPr>
        <w:t>free-to-use framework agreements used by local authorities, social landlords and other public sector bodies to</w:t>
      </w:r>
      <w:r w:rsidRPr="00047BC0">
        <w:rPr>
          <w:rFonts w:eastAsia="Arial" w:cs="Arial"/>
        </w:rPr>
        <w:t xml:space="preserve"> </w:t>
      </w:r>
      <w:r>
        <w:rPr>
          <w:rFonts w:eastAsia="Arial" w:cs="Arial"/>
        </w:rPr>
        <w:t>procure works, products and services for</w:t>
      </w:r>
      <w:r w:rsidRPr="00047BC0">
        <w:rPr>
          <w:rFonts w:eastAsia="Arial" w:cs="Arial"/>
        </w:rPr>
        <w:t xml:space="preserve"> </w:t>
      </w:r>
      <w:r>
        <w:rPr>
          <w:rFonts w:eastAsia="Arial" w:cs="Arial"/>
        </w:rPr>
        <w:t>the construction, refurbishment</w:t>
      </w:r>
      <w:r w:rsidRPr="00047BC0">
        <w:rPr>
          <w:rFonts w:eastAsia="Arial" w:cs="Arial"/>
        </w:rPr>
        <w:t xml:space="preserve"> </w:t>
      </w:r>
      <w:r>
        <w:rPr>
          <w:rFonts w:eastAsia="Arial" w:cs="Arial"/>
        </w:rPr>
        <w:t>and</w:t>
      </w:r>
      <w:r w:rsidRPr="00047BC0">
        <w:rPr>
          <w:rFonts w:eastAsia="Arial" w:cs="Arial"/>
        </w:rPr>
        <w:t xml:space="preserve"> </w:t>
      </w:r>
      <w:r>
        <w:rPr>
          <w:rFonts w:eastAsia="Arial" w:cs="Arial"/>
        </w:rPr>
        <w:t>maintenance of social housing and public buildings.</w:t>
      </w:r>
    </w:p>
    <w:p w:rsidR="00505EEA" w:rsidRPr="00505EEA" w:rsidRDefault="00505EEA" w:rsidP="00505EEA">
      <w:pPr>
        <w:spacing w:after="0" w:line="120" w:lineRule="exact"/>
        <w:rPr>
          <w:rFonts w:ascii="Calibri" w:eastAsia="Calibri" w:hAnsi="Calibri"/>
          <w:sz w:val="12"/>
          <w:szCs w:val="12"/>
        </w:rPr>
      </w:pPr>
    </w:p>
    <w:p w:rsidR="00505EEA" w:rsidRDefault="00505EEA" w:rsidP="00047BC0">
      <w:pPr>
        <w:pStyle w:val="ListParagraph"/>
        <w:widowControl w:val="0"/>
        <w:numPr>
          <w:ilvl w:val="0"/>
          <w:numId w:val="35"/>
        </w:numPr>
        <w:tabs>
          <w:tab w:val="clear" w:pos="426"/>
        </w:tabs>
        <w:spacing w:after="200" w:line="276" w:lineRule="auto"/>
        <w:contextualSpacing/>
        <w:rPr>
          <w:rFonts w:eastAsia="Arial" w:cs="Arial"/>
        </w:rPr>
      </w:pPr>
      <w:r>
        <w:rPr>
          <w:rFonts w:eastAsia="Arial" w:cs="Arial"/>
        </w:rPr>
        <w:t>The LHC Framework for</w:t>
      </w:r>
      <w:r w:rsidRPr="00047BC0">
        <w:rPr>
          <w:rFonts w:eastAsia="Arial" w:cs="Arial"/>
        </w:rPr>
        <w:t xml:space="preserve"> fully OJEU compliant, pre-tendered framework agreement covers offsite construction and installation of volumetric construction and F1 </w:t>
      </w:r>
      <w:r w:rsidRPr="00047BC0">
        <w:rPr>
          <w:rFonts w:eastAsia="Arial" w:cs="Arial"/>
        </w:rPr>
        <w:lastRenderedPageBreak/>
        <w:t xml:space="preserve">Modular is </w:t>
      </w:r>
      <w:r>
        <w:rPr>
          <w:rFonts w:eastAsia="Arial" w:cs="Arial"/>
        </w:rPr>
        <w:t>listed as a supplier.</w:t>
      </w:r>
    </w:p>
    <w:p w:rsidR="00505EEA" w:rsidRDefault="00505EEA" w:rsidP="00505EEA">
      <w:pPr>
        <w:tabs>
          <w:tab w:val="left" w:pos="520"/>
        </w:tabs>
        <w:spacing w:after="0"/>
        <w:ind w:left="-616" w:right="-20"/>
        <w:rPr>
          <w:rFonts w:eastAsia="Arial" w:cs="Arial"/>
        </w:rPr>
      </w:pPr>
    </w:p>
    <w:p w:rsidR="00505EEA" w:rsidRPr="004A44D2" w:rsidRDefault="004A44D2" w:rsidP="004A44D2">
      <w:pPr>
        <w:pStyle w:val="ListParagraph"/>
        <w:widowControl w:val="0"/>
        <w:numPr>
          <w:ilvl w:val="0"/>
          <w:numId w:val="35"/>
        </w:numPr>
        <w:tabs>
          <w:tab w:val="clear" w:pos="426"/>
        </w:tabs>
        <w:spacing w:after="200" w:line="276" w:lineRule="auto"/>
        <w:contextualSpacing/>
        <w:rPr>
          <w:rFonts w:cs="Arial"/>
        </w:rPr>
      </w:pPr>
      <w:r w:rsidRPr="004A44D2">
        <w:rPr>
          <w:rFonts w:cs="Arial"/>
        </w:rPr>
        <w:t>F</w:t>
      </w:r>
      <w:r w:rsidR="00505EEA" w:rsidRPr="004A44D2">
        <w:rPr>
          <w:rFonts w:cs="Arial"/>
        </w:rPr>
        <w:t>ollowing a difficult process in generating interest from manufacturers for these small schemes, F1 Modular were identified as suppliers of choice to deliver the entirety of each scheme.</w:t>
      </w:r>
    </w:p>
    <w:p w:rsidR="00505EEA" w:rsidRDefault="00505EEA" w:rsidP="00505EEA">
      <w:pPr>
        <w:pStyle w:val="ListParagraph"/>
        <w:numPr>
          <w:ilvl w:val="0"/>
          <w:numId w:val="0"/>
        </w:numPr>
        <w:tabs>
          <w:tab w:val="left" w:pos="940"/>
        </w:tabs>
        <w:spacing w:after="0" w:line="276" w:lineRule="exact"/>
        <w:ind w:left="-720" w:right="43"/>
        <w:rPr>
          <w:rFonts w:cs="Arial"/>
        </w:rPr>
      </w:pPr>
    </w:p>
    <w:p w:rsidR="00505EEA" w:rsidRPr="00505EEA" w:rsidRDefault="00505EEA" w:rsidP="00505EEA">
      <w:pPr>
        <w:ind w:left="-360"/>
        <w:rPr>
          <w:rFonts w:eastAsia="Calibri" w:cs="Arial"/>
          <w:b/>
        </w:rPr>
      </w:pPr>
      <w:r>
        <w:rPr>
          <w:rFonts w:cs="Arial"/>
          <w:b/>
        </w:rPr>
        <w:t>Construction Contract</w:t>
      </w:r>
    </w:p>
    <w:p w:rsidR="00505EEA" w:rsidRDefault="00505EEA" w:rsidP="00505EEA">
      <w:pPr>
        <w:pStyle w:val="ListParagraph"/>
        <w:widowControl w:val="0"/>
        <w:numPr>
          <w:ilvl w:val="0"/>
          <w:numId w:val="35"/>
        </w:numPr>
        <w:tabs>
          <w:tab w:val="clear" w:pos="426"/>
        </w:tabs>
        <w:spacing w:after="200" w:line="276" w:lineRule="auto"/>
        <w:contextualSpacing/>
        <w:rPr>
          <w:rFonts w:eastAsia="Arial" w:cs="Arial"/>
        </w:rPr>
      </w:pPr>
      <w:r>
        <w:rPr>
          <w:rFonts w:cs="Arial"/>
        </w:rPr>
        <w:t>The Council’s Development Manager, along with advice from the Council’s appointed Employer’s Agents recommends the use of a JCT (Joint Contracts Tribunal) Design and Build form of contract, with each site forming a separate contract. The contracts will provide a fixed price sum on the basis of the build in accordance with the planning permission and the Employers Requirements for each site.</w:t>
      </w:r>
    </w:p>
    <w:p w:rsidR="00505EEA" w:rsidRDefault="00505EEA" w:rsidP="00505EEA">
      <w:pPr>
        <w:ind w:left="-360"/>
        <w:rPr>
          <w:rFonts w:eastAsia="Arial" w:cs="Arial"/>
        </w:rPr>
      </w:pPr>
      <w:r>
        <w:rPr>
          <w:rFonts w:eastAsia="Arial" w:cs="Arial"/>
          <w:b/>
          <w:bCs/>
        </w:rPr>
        <w:t>Financial</w:t>
      </w:r>
      <w:r>
        <w:rPr>
          <w:rFonts w:eastAsia="Arial" w:cs="Arial"/>
          <w:b/>
          <w:bCs/>
          <w:spacing w:val="-10"/>
        </w:rPr>
        <w:t xml:space="preserve"> </w:t>
      </w:r>
      <w:r>
        <w:rPr>
          <w:rFonts w:eastAsia="Arial" w:cs="Arial"/>
          <w:b/>
          <w:bCs/>
        </w:rPr>
        <w:t>implications</w:t>
      </w:r>
    </w:p>
    <w:p w:rsidR="00505EEA" w:rsidRPr="00505EEA" w:rsidRDefault="00505EEA" w:rsidP="00505EEA">
      <w:pPr>
        <w:pStyle w:val="ListParagraph"/>
        <w:widowControl w:val="0"/>
        <w:numPr>
          <w:ilvl w:val="0"/>
          <w:numId w:val="35"/>
        </w:numPr>
        <w:tabs>
          <w:tab w:val="clear" w:pos="426"/>
        </w:tabs>
        <w:spacing w:after="200" w:line="276" w:lineRule="auto"/>
        <w:contextualSpacing/>
        <w:rPr>
          <w:rFonts w:eastAsia="Calibri" w:cs="Arial"/>
        </w:rPr>
      </w:pPr>
      <w:r>
        <w:rPr>
          <w:rFonts w:cs="Arial"/>
        </w:rPr>
        <w:t xml:space="preserve">The Medium Term Financial Plan and </w:t>
      </w:r>
      <w:r w:rsidR="00BB7A9C">
        <w:rPr>
          <w:rFonts w:cs="Arial"/>
        </w:rPr>
        <w:t xml:space="preserve">2017/18 </w:t>
      </w:r>
      <w:r>
        <w:rPr>
          <w:rFonts w:cs="Arial"/>
        </w:rPr>
        <w:t xml:space="preserve">Capital Projects </w:t>
      </w:r>
      <w:proofErr w:type="gramStart"/>
      <w:r>
        <w:rPr>
          <w:rFonts w:cs="Arial"/>
        </w:rPr>
        <w:t xml:space="preserve">Programme  </w:t>
      </w:r>
      <w:r w:rsidR="00BB7A9C">
        <w:rPr>
          <w:rFonts w:cs="Arial"/>
        </w:rPr>
        <w:t>originally</w:t>
      </w:r>
      <w:proofErr w:type="gramEnd"/>
      <w:r w:rsidR="00BB7A9C">
        <w:rPr>
          <w:rFonts w:cs="Arial"/>
        </w:rPr>
        <w:t xml:space="preserve"> </w:t>
      </w:r>
      <w:r>
        <w:rPr>
          <w:rFonts w:cs="Arial"/>
        </w:rPr>
        <w:t xml:space="preserve"> approved </w:t>
      </w:r>
      <w:r w:rsidR="00BB7A9C">
        <w:rPr>
          <w:rFonts w:cs="Arial"/>
        </w:rPr>
        <w:t xml:space="preserve">a total </w:t>
      </w:r>
      <w:r>
        <w:rPr>
          <w:rFonts w:cs="Arial"/>
        </w:rPr>
        <w:t>budget of £1.6million. Th</w:t>
      </w:r>
      <w:r w:rsidR="00BB7A9C">
        <w:rPr>
          <w:rFonts w:cs="Arial"/>
        </w:rPr>
        <w:t>is</w:t>
      </w:r>
      <w:r>
        <w:rPr>
          <w:rFonts w:cs="Arial"/>
        </w:rPr>
        <w:t xml:space="preserve"> includes an appointment of an external project manager, the construction contract and transfer of land between the General Fund and Housing Revenue account.</w:t>
      </w:r>
      <w:r>
        <w:rPr>
          <w:rFonts w:cs="Arial"/>
        </w:rPr>
        <w:br/>
      </w:r>
    </w:p>
    <w:p w:rsidR="00505EEA" w:rsidRDefault="00505EEA" w:rsidP="00505EEA">
      <w:pPr>
        <w:pStyle w:val="ListParagraph"/>
        <w:widowControl w:val="0"/>
        <w:numPr>
          <w:ilvl w:val="0"/>
          <w:numId w:val="35"/>
        </w:numPr>
        <w:tabs>
          <w:tab w:val="clear" w:pos="426"/>
        </w:tabs>
        <w:spacing w:after="200" w:line="276" w:lineRule="auto"/>
        <w:contextualSpacing/>
        <w:rPr>
          <w:rFonts w:cs="Arial"/>
        </w:rPr>
      </w:pPr>
      <w:r>
        <w:rPr>
          <w:rFonts w:cs="Arial"/>
        </w:rPr>
        <w:t xml:space="preserve">The value of the land transfer is </w:t>
      </w:r>
      <w:r w:rsidR="00BB7A9C">
        <w:rPr>
          <w:rFonts w:cs="Arial"/>
        </w:rPr>
        <w:t xml:space="preserve">estimated at </w:t>
      </w:r>
      <w:r>
        <w:rPr>
          <w:rFonts w:cs="Arial"/>
        </w:rPr>
        <w:t xml:space="preserve">£80k. </w:t>
      </w:r>
      <w:r>
        <w:rPr>
          <w:rFonts w:cs="Arial"/>
        </w:rPr>
        <w:br/>
      </w:r>
    </w:p>
    <w:p w:rsidR="00505EEA" w:rsidRDefault="00505EEA" w:rsidP="00505EEA">
      <w:pPr>
        <w:ind w:left="-360"/>
        <w:rPr>
          <w:rFonts w:cs="Arial"/>
          <w:b/>
        </w:rPr>
      </w:pPr>
      <w:r>
        <w:rPr>
          <w:rFonts w:cs="Arial"/>
          <w:b/>
        </w:rPr>
        <w:t>Construction Costs</w:t>
      </w:r>
    </w:p>
    <w:p w:rsidR="00505EEA" w:rsidRDefault="00505EEA" w:rsidP="00505EEA">
      <w:pPr>
        <w:pStyle w:val="ListParagraph"/>
        <w:widowControl w:val="0"/>
        <w:numPr>
          <w:ilvl w:val="0"/>
          <w:numId w:val="35"/>
        </w:numPr>
        <w:tabs>
          <w:tab w:val="clear" w:pos="426"/>
        </w:tabs>
        <w:spacing w:after="200" w:line="276" w:lineRule="auto"/>
        <w:contextualSpacing/>
        <w:rPr>
          <w:rFonts w:cs="Arial"/>
        </w:rPr>
      </w:pPr>
      <w:r>
        <w:rPr>
          <w:rFonts w:cs="Arial"/>
        </w:rPr>
        <w:t>The construction costs for eight units are estimated at £1.1 million, an average cost per unit of £1</w:t>
      </w:r>
      <w:r w:rsidR="002740A3">
        <w:rPr>
          <w:rFonts w:cs="Arial"/>
        </w:rPr>
        <w:t>37,500</w:t>
      </w:r>
      <w:r>
        <w:rPr>
          <w:rFonts w:cs="Arial"/>
        </w:rPr>
        <w:t xml:space="preserve">k. These costs are competitive in terms of general build costs, cheaper than current prices for traditional build and are within the Capital Projects Budget. </w:t>
      </w:r>
    </w:p>
    <w:p w:rsidR="00505EEA" w:rsidRDefault="00505EEA" w:rsidP="00505EEA">
      <w:pPr>
        <w:ind w:left="-360"/>
        <w:rPr>
          <w:rFonts w:cs="Arial"/>
          <w:b/>
        </w:rPr>
      </w:pPr>
      <w:r>
        <w:rPr>
          <w:rFonts w:cs="Arial"/>
          <w:b/>
        </w:rPr>
        <w:t>Legal Implications</w:t>
      </w:r>
    </w:p>
    <w:p w:rsidR="00505EEA" w:rsidRDefault="00505EEA" w:rsidP="00505EEA">
      <w:pPr>
        <w:pStyle w:val="ListParagraph"/>
        <w:widowControl w:val="0"/>
        <w:numPr>
          <w:ilvl w:val="0"/>
          <w:numId w:val="35"/>
        </w:numPr>
        <w:tabs>
          <w:tab w:val="clear" w:pos="426"/>
        </w:tabs>
        <w:spacing w:after="200" w:line="276" w:lineRule="auto"/>
        <w:contextualSpacing/>
        <w:rPr>
          <w:rFonts w:cs="Arial"/>
        </w:rPr>
      </w:pPr>
      <w:r>
        <w:rPr>
          <w:rFonts w:cs="Arial"/>
        </w:rPr>
        <w:t xml:space="preserve">The proposed construction contract has been procured in accordance with the Council’s Procurement rules. It is proposed that JCT Design and Build contracts will be used. </w:t>
      </w:r>
    </w:p>
    <w:p w:rsidR="00505EEA" w:rsidRDefault="00505EEA" w:rsidP="00505EEA">
      <w:pPr>
        <w:spacing w:after="0"/>
        <w:ind w:left="-360" w:right="-20"/>
        <w:rPr>
          <w:rFonts w:eastAsia="Arial" w:cs="Arial"/>
        </w:rPr>
      </w:pPr>
      <w:r>
        <w:rPr>
          <w:rFonts w:eastAsia="Arial" w:cs="Arial"/>
          <w:b/>
          <w:bCs/>
        </w:rPr>
        <w:t>Level of</w:t>
      </w:r>
      <w:r>
        <w:rPr>
          <w:rFonts w:eastAsia="Arial" w:cs="Arial"/>
          <w:b/>
          <w:bCs/>
          <w:spacing w:val="-2"/>
        </w:rPr>
        <w:t xml:space="preserve"> </w:t>
      </w:r>
      <w:r>
        <w:rPr>
          <w:rFonts w:eastAsia="Arial" w:cs="Arial"/>
          <w:b/>
          <w:bCs/>
        </w:rPr>
        <w:t>risk</w:t>
      </w:r>
    </w:p>
    <w:p w:rsidR="00505EEA" w:rsidRPr="00505EEA" w:rsidRDefault="00505EEA" w:rsidP="00505EEA">
      <w:pPr>
        <w:spacing w:after="0" w:line="120" w:lineRule="exact"/>
        <w:rPr>
          <w:rFonts w:ascii="Calibri" w:eastAsia="Calibri" w:hAnsi="Calibri"/>
          <w:sz w:val="12"/>
          <w:szCs w:val="12"/>
        </w:rPr>
      </w:pPr>
    </w:p>
    <w:p w:rsidR="00505EEA" w:rsidRDefault="00505EEA" w:rsidP="00505EEA">
      <w:pPr>
        <w:pStyle w:val="ListParagraph"/>
        <w:widowControl w:val="0"/>
        <w:numPr>
          <w:ilvl w:val="0"/>
          <w:numId w:val="35"/>
        </w:numPr>
        <w:tabs>
          <w:tab w:val="clear" w:pos="426"/>
        </w:tabs>
        <w:spacing w:after="0"/>
        <w:ind w:right="-20"/>
        <w:contextualSpacing/>
        <w:rPr>
          <w:rFonts w:eastAsia="Arial" w:cs="Arial"/>
        </w:rPr>
      </w:pPr>
      <w:r>
        <w:rPr>
          <w:rFonts w:eastAsia="Arial" w:cs="Arial"/>
        </w:rPr>
        <w:t>A</w:t>
      </w:r>
      <w:r>
        <w:rPr>
          <w:rFonts w:eastAsia="Arial" w:cs="Arial"/>
          <w:spacing w:val="-2"/>
        </w:rPr>
        <w:t xml:space="preserve"> </w:t>
      </w:r>
      <w:r>
        <w:rPr>
          <w:rFonts w:eastAsia="Arial" w:cs="Arial"/>
        </w:rPr>
        <w:t>Risk Register is attached at</w:t>
      </w:r>
      <w:r>
        <w:rPr>
          <w:rFonts w:eastAsia="Arial" w:cs="Arial"/>
          <w:spacing w:val="-2"/>
        </w:rPr>
        <w:t xml:space="preserve"> </w:t>
      </w:r>
      <w:r>
        <w:rPr>
          <w:rFonts w:eastAsia="Arial" w:cs="Arial"/>
        </w:rPr>
        <w:t>Appendix 1.</w:t>
      </w:r>
    </w:p>
    <w:p w:rsidR="00505EEA" w:rsidRPr="00505EEA" w:rsidRDefault="00505EEA" w:rsidP="00505EEA">
      <w:pPr>
        <w:spacing w:before="6" w:after="0" w:line="150" w:lineRule="exact"/>
        <w:rPr>
          <w:rFonts w:ascii="Calibri" w:eastAsia="Calibri" w:hAnsi="Calibri"/>
          <w:sz w:val="15"/>
          <w:szCs w:val="15"/>
        </w:rPr>
      </w:pPr>
    </w:p>
    <w:p w:rsidR="00505EEA" w:rsidRDefault="00505EEA" w:rsidP="00505EEA">
      <w:pPr>
        <w:spacing w:after="0" w:line="200" w:lineRule="exact"/>
        <w:rPr>
          <w:sz w:val="20"/>
          <w:szCs w:val="20"/>
        </w:rPr>
      </w:pPr>
    </w:p>
    <w:p w:rsidR="00505EEA" w:rsidRDefault="00505EEA" w:rsidP="00505EEA">
      <w:pPr>
        <w:ind w:left="-360"/>
        <w:rPr>
          <w:rFonts w:cs="Arial"/>
          <w:b/>
        </w:rPr>
      </w:pPr>
      <w:r>
        <w:rPr>
          <w:rFonts w:cs="Arial"/>
          <w:b/>
        </w:rPr>
        <w:t>Equalities impact</w:t>
      </w:r>
    </w:p>
    <w:p w:rsidR="00505EEA" w:rsidRDefault="00505EEA" w:rsidP="00505EEA">
      <w:pPr>
        <w:pStyle w:val="ListParagraph"/>
        <w:widowControl w:val="0"/>
        <w:numPr>
          <w:ilvl w:val="0"/>
          <w:numId w:val="35"/>
        </w:numPr>
        <w:tabs>
          <w:tab w:val="clear" w:pos="426"/>
        </w:tabs>
        <w:spacing w:after="200" w:line="276" w:lineRule="auto"/>
        <w:contextualSpacing/>
        <w:rPr>
          <w:rFonts w:cs="Arial"/>
        </w:rPr>
      </w:pPr>
      <w:r>
        <w:rPr>
          <w:rFonts w:cs="Arial"/>
        </w:rPr>
        <w:t>The new properties are designed to meet the following industry standards:</w:t>
      </w:r>
    </w:p>
    <w:p w:rsidR="00505EEA" w:rsidRDefault="00505EEA" w:rsidP="00505EEA">
      <w:pPr>
        <w:pStyle w:val="NoSpacing"/>
        <w:widowControl w:val="0"/>
        <w:numPr>
          <w:ilvl w:val="0"/>
          <w:numId w:val="36"/>
        </w:numPr>
        <w:spacing w:after="0"/>
        <w:ind w:left="720"/>
        <w:rPr>
          <w:rFonts w:cs="Arial"/>
        </w:rPr>
      </w:pPr>
      <w:r>
        <w:rPr>
          <w:rFonts w:cs="Arial"/>
        </w:rPr>
        <w:t>Lifetime Homes Standard;</w:t>
      </w:r>
    </w:p>
    <w:p w:rsidR="00505EEA" w:rsidRDefault="00505EEA" w:rsidP="00505EEA">
      <w:pPr>
        <w:pStyle w:val="NoSpacing"/>
        <w:widowControl w:val="0"/>
        <w:numPr>
          <w:ilvl w:val="0"/>
          <w:numId w:val="36"/>
        </w:numPr>
        <w:spacing w:after="0"/>
        <w:ind w:left="720"/>
        <w:rPr>
          <w:rFonts w:cs="Arial"/>
        </w:rPr>
      </w:pPr>
      <w:r>
        <w:rPr>
          <w:rFonts w:cs="Arial"/>
        </w:rPr>
        <w:t>Wheelchair Housing Design Guide;</w:t>
      </w:r>
    </w:p>
    <w:p w:rsidR="00505EEA" w:rsidRDefault="00505EEA" w:rsidP="00505EEA">
      <w:pPr>
        <w:pStyle w:val="NoSpacing"/>
        <w:widowControl w:val="0"/>
        <w:numPr>
          <w:ilvl w:val="0"/>
          <w:numId w:val="36"/>
        </w:numPr>
        <w:spacing w:after="0"/>
        <w:ind w:left="720"/>
        <w:rPr>
          <w:rFonts w:cs="Arial"/>
        </w:rPr>
      </w:pPr>
      <w:r>
        <w:rPr>
          <w:rFonts w:cs="Arial"/>
        </w:rPr>
        <w:t>Secure by Design</w:t>
      </w:r>
    </w:p>
    <w:p w:rsidR="00505EEA" w:rsidRPr="00505EEA" w:rsidRDefault="00505EEA" w:rsidP="00505EEA">
      <w:pPr>
        <w:pStyle w:val="NoSpacing"/>
        <w:rPr>
          <w:rFonts w:ascii="Calibri" w:hAnsi="Calibri"/>
          <w:sz w:val="22"/>
          <w:szCs w:val="22"/>
        </w:rPr>
      </w:pPr>
    </w:p>
    <w:p w:rsidR="00505EEA" w:rsidRDefault="00505EEA" w:rsidP="00505EEA">
      <w:pPr>
        <w:pStyle w:val="NoSpacing"/>
        <w:widowControl w:val="0"/>
        <w:numPr>
          <w:ilvl w:val="0"/>
          <w:numId w:val="35"/>
        </w:numPr>
        <w:spacing w:after="0"/>
        <w:rPr>
          <w:rFonts w:cs="Arial"/>
        </w:rPr>
      </w:pPr>
      <w:r>
        <w:rPr>
          <w:rFonts w:cs="Arial"/>
        </w:rPr>
        <w:lastRenderedPageBreak/>
        <w:t xml:space="preserve">Contractors will need to show how they will support the Council’s commitment to training and development opportunities for local people, use of local labour, and apprenticeships. </w:t>
      </w:r>
    </w:p>
    <w:p w:rsidR="00505EEA" w:rsidRDefault="00505EEA" w:rsidP="00505EEA">
      <w:pPr>
        <w:pStyle w:val="NoSpacing"/>
        <w:rPr>
          <w:rFonts w:cs="Arial"/>
        </w:rPr>
      </w:pPr>
    </w:p>
    <w:p w:rsidR="00505EEA" w:rsidRDefault="00505EEA" w:rsidP="00505EEA">
      <w:pPr>
        <w:pStyle w:val="NoSpacing"/>
        <w:widowControl w:val="0"/>
        <w:numPr>
          <w:ilvl w:val="0"/>
          <w:numId w:val="35"/>
        </w:numPr>
        <w:spacing w:after="0"/>
        <w:rPr>
          <w:rFonts w:cs="Arial"/>
        </w:rPr>
      </w:pPr>
      <w:r>
        <w:rPr>
          <w:rFonts w:cs="Arial"/>
        </w:rPr>
        <w:t>The location of the offsite manufacturing factory means that the contractor will have difficulty applying local supply chain and employment to Oxford for the unit construction. There may be opportunity in using local labour for external works and drainage on the sites themselves.</w:t>
      </w:r>
    </w:p>
    <w:p w:rsidR="00E206D6" w:rsidRDefault="00E206D6" w:rsidP="00505EEA">
      <w:pPr>
        <w:pStyle w:val="ListParagraph"/>
        <w:numPr>
          <w:ilvl w:val="0"/>
          <w:numId w:val="0"/>
        </w:numPr>
      </w:pPr>
    </w:p>
    <w:p w:rsidR="00505EEA" w:rsidRPr="001356F1" w:rsidRDefault="00505EEA" w:rsidP="00E206D6">
      <w:pPr>
        <w:pStyle w:val="ListParagraph"/>
        <w:numPr>
          <w:ilvl w:val="0"/>
          <w:numId w:val="0"/>
        </w:numPr>
        <w:ind w:left="426"/>
      </w:pP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505EEA" w:rsidP="00505EEA">
            <w:pPr>
              <w:ind w:left="720" w:hanging="720"/>
            </w:pPr>
            <w:r>
              <w:t>Allison Dalton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505EEA" w:rsidP="00A46E98">
            <w:r>
              <w:rPr>
                <w:rFonts w:eastAsia="Arial" w:cs="Arial"/>
              </w:rPr>
              <w:t>Housing Development &amp; Regen Officer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4A44D2" w:rsidP="00A46E98">
            <w:r>
              <w:t>Major Projects and Regen Team</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4A44D2" w:rsidP="00A46E98">
            <w:r>
              <w:t>01865 252801</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4A44D2" w:rsidP="00A46E98">
            <w:pPr>
              <w:rPr>
                <w:rStyle w:val="Hyperlink"/>
                <w:color w:val="000000"/>
              </w:rPr>
            </w:pPr>
            <w:r>
              <w:rPr>
                <w:rFonts w:eastAsia="Arial" w:cs="Arial"/>
                <w:position w:val="-1"/>
                <w:u w:val="single" w:color="000000"/>
              </w:rPr>
              <w:t>adalton@oxford.gov.uk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4456DD" w:rsidRPr="009E51FC" w:rsidRDefault="004456DD" w:rsidP="0093067A"/>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1DB" w:rsidRDefault="00D661DB" w:rsidP="004A6D2F">
      <w:r>
        <w:separator/>
      </w:r>
    </w:p>
  </w:endnote>
  <w:endnote w:type="continuationSeparator" w:id="0">
    <w:p w:rsidR="00D661DB" w:rsidRDefault="00D661DB"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C0" w:rsidRDefault="00047BC0" w:rsidP="004A6D2F">
    <w:pPr>
      <w:pStyle w:val="Footer"/>
    </w:pPr>
    <w:r>
      <w:t>Do not use a footer or page numbers.</w:t>
    </w:r>
  </w:p>
  <w:p w:rsidR="00047BC0" w:rsidRDefault="00047BC0" w:rsidP="004A6D2F">
    <w:pPr>
      <w:pStyle w:val="Footer"/>
    </w:pPr>
  </w:p>
  <w:p w:rsidR="00047BC0" w:rsidRDefault="00047BC0"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C0" w:rsidRDefault="00047BC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1DB" w:rsidRDefault="00D661DB" w:rsidP="004A6D2F">
      <w:r>
        <w:separator/>
      </w:r>
    </w:p>
  </w:footnote>
  <w:footnote w:type="continuationSeparator" w:id="0">
    <w:p w:rsidR="00D661DB" w:rsidRDefault="00D661DB"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C0" w:rsidRDefault="00CE53E0"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EE22F0F"/>
    <w:multiLevelType w:val="hybridMultilevel"/>
    <w:tmpl w:val="1944C70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04E2C40"/>
    <w:multiLevelType w:val="hybridMultilevel"/>
    <w:tmpl w:val="57F84F40"/>
    <w:lvl w:ilvl="0" w:tplc="0809000F">
      <w:start w:val="1"/>
      <w:numFmt w:val="decimal"/>
      <w:lvlText w:val="%1."/>
      <w:lvlJc w:val="left"/>
      <w:pPr>
        <w:ind w:left="36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BA5FD8"/>
    <w:multiLevelType w:val="multilevel"/>
    <w:tmpl w:val="43D6D2FA"/>
    <w:numStyleLink w:val="StyleBulletedSymbolsymbolLeft063cmHanging063cm"/>
  </w:abstractNum>
  <w:abstractNum w:abstractNumId="2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A22831"/>
    <w:multiLevelType w:val="multilevel"/>
    <w:tmpl w:val="43D6D2FA"/>
    <w:numStyleLink w:val="StyleBulletedSymbolsymbolLeft063cmHanging063cm"/>
  </w:abstractNum>
  <w:abstractNum w:abstractNumId="3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82748A4"/>
    <w:multiLevelType w:val="hybridMultilevel"/>
    <w:tmpl w:val="1E1ECC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5">
    <w:nsid w:val="798365C6"/>
    <w:multiLevelType w:val="multilevel"/>
    <w:tmpl w:val="E67CE66C"/>
    <w:numStyleLink w:val="StyleNumberedLeft0cmHanging075cm"/>
  </w:abstractNum>
  <w:num w:numId="1">
    <w:abstractNumId w:val="27"/>
  </w:num>
  <w:num w:numId="2">
    <w:abstractNumId w:val="32"/>
  </w:num>
  <w:num w:numId="3">
    <w:abstractNumId w:val="24"/>
  </w:num>
  <w:num w:numId="4">
    <w:abstractNumId w:val="18"/>
  </w:num>
  <w:num w:numId="5">
    <w:abstractNumId w:val="29"/>
  </w:num>
  <w:num w:numId="6">
    <w:abstractNumId w:val="33"/>
  </w:num>
  <w:num w:numId="7">
    <w:abstractNumId w:val="23"/>
  </w:num>
  <w:num w:numId="8">
    <w:abstractNumId w:val="19"/>
  </w:num>
  <w:num w:numId="9">
    <w:abstractNumId w:val="13"/>
  </w:num>
  <w:num w:numId="10">
    <w:abstractNumId w:val="15"/>
  </w:num>
  <w:num w:numId="11">
    <w:abstractNumId w:val="26"/>
  </w:num>
  <w:num w:numId="12">
    <w:abstractNumId w:val="25"/>
  </w:num>
  <w:num w:numId="13">
    <w:abstractNumId w:val="10"/>
  </w:num>
  <w:num w:numId="14">
    <w:abstractNumId w:val="35"/>
  </w:num>
  <w:num w:numId="15">
    <w:abstractNumId w:val="16"/>
  </w:num>
  <w:num w:numId="16">
    <w:abstractNumId w:val="11"/>
  </w:num>
  <w:num w:numId="17">
    <w:abstractNumId w:val="28"/>
  </w:num>
  <w:num w:numId="18">
    <w:abstractNumId w:val="12"/>
  </w:num>
  <w:num w:numId="19">
    <w:abstractNumId w:val="30"/>
  </w:num>
  <w:num w:numId="20">
    <w:abstractNumId w:val="17"/>
  </w:num>
  <w:num w:numId="21">
    <w:abstractNumId w:val="21"/>
  </w:num>
  <w:num w:numId="22">
    <w:abstractNumId w:val="14"/>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35"/>
  </w:num>
  <w:num w:numId="38">
    <w:abstractNumId w:val="35"/>
  </w:num>
  <w:num w:numId="39">
    <w:abstractNumId w:val="35"/>
  </w:num>
  <w:num w:numId="40">
    <w:abstractNumId w:val="35"/>
  </w:num>
  <w:num w:numId="41">
    <w:abstractNumId w:val="35"/>
  </w:num>
  <w:num w:numId="42">
    <w:abstractNumId w:val="35"/>
  </w:num>
  <w:num w:numId="43">
    <w:abstractNumId w:val="35"/>
  </w:num>
  <w:num w:numId="44">
    <w:abstractNumId w:val="35"/>
  </w:num>
  <w:num w:numId="45">
    <w:abstractNumId w:val="35"/>
  </w:num>
  <w:num w:numId="46">
    <w:abstractNumId w:val="35"/>
  </w:num>
  <w:num w:numId="47">
    <w:abstractNumId w:val="35"/>
  </w:num>
  <w:num w:numId="48">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17D4"/>
    <w:rsid w:val="000314D7"/>
    <w:rsid w:val="00045F8B"/>
    <w:rsid w:val="00046D2B"/>
    <w:rsid w:val="00047BC0"/>
    <w:rsid w:val="00056263"/>
    <w:rsid w:val="00064D8A"/>
    <w:rsid w:val="00064F82"/>
    <w:rsid w:val="00066510"/>
    <w:rsid w:val="00077523"/>
    <w:rsid w:val="000C089F"/>
    <w:rsid w:val="000C3928"/>
    <w:rsid w:val="000C5E8E"/>
    <w:rsid w:val="000F4751"/>
    <w:rsid w:val="0010524C"/>
    <w:rsid w:val="00111FB1"/>
    <w:rsid w:val="00112AE7"/>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329CF"/>
    <w:rsid w:val="00232F5B"/>
    <w:rsid w:val="00247C29"/>
    <w:rsid w:val="00260467"/>
    <w:rsid w:val="00263EA3"/>
    <w:rsid w:val="002740A3"/>
    <w:rsid w:val="00284F85"/>
    <w:rsid w:val="00290915"/>
    <w:rsid w:val="00292377"/>
    <w:rsid w:val="002A22E2"/>
    <w:rsid w:val="002B5CA5"/>
    <w:rsid w:val="002C64F7"/>
    <w:rsid w:val="002F41F2"/>
    <w:rsid w:val="00301BF3"/>
    <w:rsid w:val="0030208D"/>
    <w:rsid w:val="00323418"/>
    <w:rsid w:val="003357BF"/>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44D2"/>
    <w:rsid w:val="004A6D2F"/>
    <w:rsid w:val="004C2887"/>
    <w:rsid w:val="004D2626"/>
    <w:rsid w:val="004D6E26"/>
    <w:rsid w:val="004D77D3"/>
    <w:rsid w:val="004E2959"/>
    <w:rsid w:val="004F20EF"/>
    <w:rsid w:val="0050321C"/>
    <w:rsid w:val="00505EEA"/>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55C"/>
    <w:rsid w:val="007742DC"/>
    <w:rsid w:val="00791437"/>
    <w:rsid w:val="007B0C2C"/>
    <w:rsid w:val="007B278E"/>
    <w:rsid w:val="007C5C23"/>
    <w:rsid w:val="007E2A26"/>
    <w:rsid w:val="007F2348"/>
    <w:rsid w:val="00803F07"/>
    <w:rsid w:val="0080749A"/>
    <w:rsid w:val="00821FB8"/>
    <w:rsid w:val="00822ACD"/>
    <w:rsid w:val="00855C66"/>
    <w:rsid w:val="00871EE4"/>
    <w:rsid w:val="00877444"/>
    <w:rsid w:val="008B293F"/>
    <w:rsid w:val="008B7371"/>
    <w:rsid w:val="008D3DDB"/>
    <w:rsid w:val="008F573F"/>
    <w:rsid w:val="009034EC"/>
    <w:rsid w:val="0093067A"/>
    <w:rsid w:val="00941C60"/>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6E98"/>
    <w:rsid w:val="00A6352B"/>
    <w:rsid w:val="00A701B5"/>
    <w:rsid w:val="00A714BB"/>
    <w:rsid w:val="00A92D8F"/>
    <w:rsid w:val="00AB2988"/>
    <w:rsid w:val="00AB7999"/>
    <w:rsid w:val="00AD3292"/>
    <w:rsid w:val="00AE7AF0"/>
    <w:rsid w:val="00B500CA"/>
    <w:rsid w:val="00B86314"/>
    <w:rsid w:val="00BA1C2E"/>
    <w:rsid w:val="00BA6054"/>
    <w:rsid w:val="00BB7A9C"/>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3E0"/>
    <w:rsid w:val="00CE544A"/>
    <w:rsid w:val="00D11E1C"/>
    <w:rsid w:val="00D160B0"/>
    <w:rsid w:val="00D17F94"/>
    <w:rsid w:val="00D223FC"/>
    <w:rsid w:val="00D26D1E"/>
    <w:rsid w:val="00D474CF"/>
    <w:rsid w:val="00D5547E"/>
    <w:rsid w:val="00D661DB"/>
    <w:rsid w:val="00D869A1"/>
    <w:rsid w:val="00DA413F"/>
    <w:rsid w:val="00DA4584"/>
    <w:rsid w:val="00DA614B"/>
    <w:rsid w:val="00DC3060"/>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eld-content5">
    <w:name w:val="field-content5"/>
    <w:rsid w:val="00047BC0"/>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eld-content5">
    <w:name w:val="field-content5"/>
    <w:rsid w:val="00047BC0"/>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39403">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03577512">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52534934">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785879246">
      <w:bodyDiv w:val="1"/>
      <w:marLeft w:val="0"/>
      <w:marRight w:val="0"/>
      <w:marTop w:val="0"/>
      <w:marBottom w:val="0"/>
      <w:divBdr>
        <w:top w:val="none" w:sz="0" w:space="0" w:color="auto"/>
        <w:left w:val="none" w:sz="0" w:space="0" w:color="auto"/>
        <w:bottom w:val="none" w:sz="0" w:space="0" w:color="auto"/>
        <w:right w:val="none" w:sz="0" w:space="0" w:color="auto"/>
      </w:divBdr>
    </w:div>
    <w:div w:id="189072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97349-992D-4021-9402-A7A1C513B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339DB630</Template>
  <TotalTime>11</TotalTime>
  <Pages>4</Pages>
  <Words>922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JMitchell</cp:lastModifiedBy>
  <cp:revision>4</cp:revision>
  <cp:lastPrinted>2015-07-03T12:50:00Z</cp:lastPrinted>
  <dcterms:created xsi:type="dcterms:W3CDTF">2018-09-17T12:28:00Z</dcterms:created>
  <dcterms:modified xsi:type="dcterms:W3CDTF">2018-10-04T14:02:00Z</dcterms:modified>
</cp:coreProperties>
</file>